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11A" w:rsidRPr="00362265" w:rsidRDefault="000B311A" w:rsidP="008A172A">
      <w:pPr>
        <w:spacing w:after="195" w:line="240" w:lineRule="auto"/>
        <w:ind w:firstLine="720"/>
        <w:jc w:val="both"/>
        <w:outlineLvl w:val="1"/>
        <w:rPr>
          <w:rFonts w:eastAsia="Times New Roman" w:cs="Times New Roman"/>
          <w:b/>
          <w:szCs w:val="28"/>
        </w:rPr>
      </w:pPr>
      <w:r w:rsidRPr="00362265">
        <w:rPr>
          <w:rFonts w:eastAsia="Times New Roman" w:cs="Times New Roman"/>
          <w:b/>
          <w:szCs w:val="28"/>
        </w:rPr>
        <w:t xml:space="preserve">Quy định mới của Chính phủ </w:t>
      </w:r>
      <w:r w:rsidR="004B16DA" w:rsidRPr="00362265">
        <w:rPr>
          <w:rFonts w:eastAsia="Times New Roman" w:cs="Times New Roman"/>
          <w:b/>
          <w:szCs w:val="28"/>
        </w:rPr>
        <w:t>về</w:t>
      </w:r>
      <w:r w:rsidRPr="00362265">
        <w:rPr>
          <w:rFonts w:eastAsia="Times New Roman" w:cs="Times New Roman"/>
          <w:b/>
          <w:szCs w:val="28"/>
        </w:rPr>
        <w:t xml:space="preserve"> chống tin nhắn rác, thư điện tử rác, cuộc gọi rác </w:t>
      </w:r>
    </w:p>
    <w:p w:rsidR="008A172A" w:rsidRPr="00362265" w:rsidRDefault="008A172A" w:rsidP="008A172A">
      <w:pPr>
        <w:spacing w:after="195" w:line="240" w:lineRule="auto"/>
        <w:ind w:firstLine="720"/>
        <w:jc w:val="both"/>
        <w:outlineLvl w:val="1"/>
        <w:rPr>
          <w:rFonts w:eastAsia="Times New Roman" w:cs="Times New Roman"/>
          <w:szCs w:val="28"/>
        </w:rPr>
      </w:pPr>
      <w:bookmarkStart w:id="0" w:name="_GoBack"/>
      <w:r w:rsidRPr="00362265">
        <w:rPr>
          <w:rFonts w:eastAsia="Times New Roman" w:cs="Times New Roman"/>
          <w:szCs w:val="28"/>
        </w:rPr>
        <w:t>Đây là một trong những nội dung quan trọng được quy địn</w:t>
      </w:r>
      <w:r w:rsidR="00A3645D" w:rsidRPr="00362265">
        <w:rPr>
          <w:rFonts w:eastAsia="Times New Roman" w:cs="Times New Roman"/>
          <w:szCs w:val="28"/>
        </w:rPr>
        <w:t>h tại Nghị định số 91/2020/NĐ-CP ngày 14/8/2020</w:t>
      </w:r>
      <w:r w:rsidRPr="00362265">
        <w:rPr>
          <w:rFonts w:eastAsia="Times New Roman" w:cs="Times New Roman"/>
          <w:szCs w:val="28"/>
        </w:rPr>
        <w:t xml:space="preserve"> về chống tin nhắn rác, thư điện tử rác, cuộc gọi rác vừa được Chính phủ ban hành.</w:t>
      </w:r>
    </w:p>
    <w:bookmarkEnd w:id="0"/>
    <w:p w:rsidR="008A172A" w:rsidRPr="00362265" w:rsidRDefault="008A172A" w:rsidP="00362265">
      <w:pPr>
        <w:spacing w:after="195" w:line="240" w:lineRule="auto"/>
        <w:ind w:firstLine="720"/>
        <w:jc w:val="both"/>
        <w:outlineLvl w:val="1"/>
        <w:rPr>
          <w:rFonts w:eastAsia="Times New Roman" w:cs="Times New Roman"/>
          <w:szCs w:val="28"/>
        </w:rPr>
      </w:pPr>
      <w:r w:rsidRPr="00362265">
        <w:rPr>
          <w:rFonts w:eastAsia="Times New Roman" w:cs="Times New Roman"/>
          <w:szCs w:val="28"/>
        </w:rPr>
        <w:t>Nghị định 91 quy định về chống tin nhắn rác, thư điện tử rác, cuộc gọi rác và quy định về quảng cáo bằng tin nhắn, thư điện tử và gọi điện thoại; quyền và nghĩa vụ của cơ quan, tổ chức, cá nhân và bổ sung quy định xử lý vi phạm hành chính về tin nhắn rác, thư điện tử rác, cuộc gọi rác.</w:t>
      </w:r>
    </w:p>
    <w:p w:rsidR="008A172A" w:rsidRPr="00362265" w:rsidRDefault="008A172A" w:rsidP="000324D6">
      <w:pPr>
        <w:spacing w:before="150" w:after="150" w:line="375" w:lineRule="atLeast"/>
        <w:ind w:firstLine="720"/>
        <w:jc w:val="both"/>
        <w:rPr>
          <w:rFonts w:eastAsia="Times New Roman" w:cs="Times New Roman"/>
          <w:szCs w:val="28"/>
        </w:rPr>
      </w:pPr>
      <w:r w:rsidRPr="00362265">
        <w:rPr>
          <w:rFonts w:eastAsia="Times New Roman" w:cs="Times New Roman"/>
          <w:szCs w:val="28"/>
        </w:rPr>
        <w:t>Theo nghị định, người sử dụng các dịch vụ điện tử, viễn thông sẽ được bảo vệ bằng 8 biện pháp chống, ngăn chặn tin nhắn rác, thư điện tử rác, cuộc gọi rác.</w:t>
      </w:r>
    </w:p>
    <w:p w:rsidR="008A172A" w:rsidRPr="00362265" w:rsidRDefault="008A172A" w:rsidP="000324D6">
      <w:pPr>
        <w:spacing w:before="150" w:after="150" w:line="375" w:lineRule="atLeast"/>
        <w:ind w:firstLine="720"/>
        <w:jc w:val="both"/>
        <w:rPr>
          <w:rFonts w:eastAsia="Times New Roman" w:cs="Times New Roman"/>
          <w:szCs w:val="28"/>
        </w:rPr>
      </w:pPr>
      <w:r w:rsidRPr="00362265">
        <w:rPr>
          <w:rFonts w:eastAsia="Times New Roman" w:cs="Times New Roman"/>
          <w:szCs w:val="28"/>
        </w:rPr>
        <w:t>Trong đó, Chính phủ quy định rõ việc xây dựng, triển khai các hệ thống chống, ngăn chặn và xây dựng bộ tiêu chí nhận diện tin nhắn rác, thư điện tử rác, cuộc gọi rác. Nghị định cũng cho phép thực hiện theo dõi, giám sát, chia sẻ thông tin, dữ liệu về nguồn phát tán tin nhắn rác, thư điện tử rác, cuộc gọi rác.</w:t>
      </w:r>
    </w:p>
    <w:p w:rsidR="008A172A" w:rsidRPr="00362265" w:rsidRDefault="008A172A" w:rsidP="000324D6">
      <w:pPr>
        <w:spacing w:before="150" w:after="150" w:line="375" w:lineRule="atLeast"/>
        <w:ind w:firstLine="720"/>
        <w:jc w:val="both"/>
        <w:rPr>
          <w:rFonts w:eastAsia="Times New Roman" w:cs="Times New Roman"/>
          <w:szCs w:val="28"/>
        </w:rPr>
      </w:pPr>
      <w:r w:rsidRPr="00362265">
        <w:rPr>
          <w:rFonts w:eastAsia="Times New Roman" w:cs="Times New Roman"/>
          <w:szCs w:val="28"/>
        </w:rPr>
        <w:t>Nghị định cũng quy định rõ việc phải áp dụng công nghệ cao, hiện đại như xử lý dữ liệu lớn (Bigdata), trí tuệ nhân tạo (AI) vào các hệ thống chặn, lọc tin nhắn rác, thư điện tử rác, cuộc gọi rác của các doanh nghiệp cung cấp dịch vụ viễn thông, Internet. Đây là một điểm rất mới so với cách quản lý truyền thống trước đây nhằm đạt hiệu quả trong việc xử lý hàng trăm triệu tin nhắn rác…</w:t>
      </w:r>
    </w:p>
    <w:p w:rsidR="008A172A" w:rsidRPr="00362265" w:rsidRDefault="008A172A" w:rsidP="000324D6">
      <w:pPr>
        <w:spacing w:before="150" w:after="150" w:line="375" w:lineRule="atLeast"/>
        <w:ind w:firstLine="720"/>
        <w:jc w:val="both"/>
        <w:rPr>
          <w:rFonts w:eastAsia="Times New Roman" w:cs="Times New Roman"/>
          <w:szCs w:val="28"/>
        </w:rPr>
      </w:pPr>
      <w:r w:rsidRPr="00362265">
        <w:rPr>
          <w:rFonts w:eastAsia="Times New Roman" w:cs="Times New Roman"/>
          <w:szCs w:val="28"/>
        </w:rPr>
        <w:t>Đáng chú ý, nghị định quy định rõ các nhà quảng cáo không được phép gửi tin nhắn quảng cáo, gọi điện thoại quảng cáo đến các số điện thoại nằm trong danh sách không quảng cáo hoặc người sử dụng không đồng ý nhận quảng cáo trước đó. </w:t>
      </w:r>
    </w:p>
    <w:p w:rsidR="008A172A" w:rsidRPr="00362265" w:rsidRDefault="008A172A" w:rsidP="000324D6">
      <w:pPr>
        <w:spacing w:before="150" w:after="150" w:line="375" w:lineRule="atLeast"/>
        <w:ind w:firstLine="720"/>
        <w:jc w:val="both"/>
        <w:rPr>
          <w:rFonts w:eastAsia="Times New Roman" w:cs="Times New Roman"/>
          <w:szCs w:val="28"/>
        </w:rPr>
      </w:pPr>
      <w:r w:rsidRPr="00362265">
        <w:rPr>
          <w:rFonts w:eastAsia="Times New Roman" w:cs="Times New Roman"/>
          <w:szCs w:val="28"/>
        </w:rPr>
        <w:t>Trường hợp người sử dụng từ chối nhận quảng cáo hoặc không trả lời sau khi nhận tin nhắn đăng ký quảng cáo đầu tiên, người quảng cáo không được phép gửi bất kỳ tin nhăn đăng ký quảng cáo hoặc tin nhắn quảng cáo nào đến số điện thoại đó.</w:t>
      </w:r>
    </w:p>
    <w:p w:rsidR="008A172A" w:rsidRPr="00362265" w:rsidRDefault="008A172A" w:rsidP="000324D6">
      <w:pPr>
        <w:spacing w:before="150" w:after="150" w:line="375" w:lineRule="atLeast"/>
        <w:ind w:firstLine="720"/>
        <w:jc w:val="both"/>
        <w:rPr>
          <w:rFonts w:eastAsia="Times New Roman" w:cs="Times New Roman"/>
          <w:szCs w:val="28"/>
        </w:rPr>
      </w:pPr>
      <w:r w:rsidRPr="00362265">
        <w:rPr>
          <w:rFonts w:eastAsia="Times New Roman" w:cs="Times New Roman"/>
          <w:szCs w:val="28"/>
        </w:rPr>
        <w:t>Phải chấm dứt việc gửi đến người sử dụng nhận các tin nhắn cáo, thư điện tử quảng cáo hoặc thực hiện gọi điện thoại quảng cáo ngay sau khi nhận được yêu cầu từ chôi của người sử dụng.</w:t>
      </w:r>
    </w:p>
    <w:p w:rsidR="008A172A" w:rsidRPr="00362265" w:rsidRDefault="008A172A" w:rsidP="000324D6">
      <w:pPr>
        <w:spacing w:before="150" w:after="150" w:line="375" w:lineRule="atLeast"/>
        <w:ind w:firstLine="720"/>
        <w:jc w:val="both"/>
        <w:rPr>
          <w:rFonts w:eastAsia="Times New Roman" w:cs="Times New Roman"/>
          <w:szCs w:val="28"/>
        </w:rPr>
      </w:pPr>
      <w:r w:rsidRPr="00362265">
        <w:rPr>
          <w:rFonts w:eastAsia="Times New Roman" w:cs="Times New Roman"/>
          <w:szCs w:val="28"/>
        </w:rPr>
        <w:t xml:space="preserve">Mỗi người quảng cáo không được phép gửi quá 3 tin nhắn quảng cáo tới một số điện thoại, 3 thư điện tử quảng cáo tới một địa chỉ thư điện tử, 1 cuộc gọi điện thoại quảng cáo tới một số điện thoại trong vòng 24 giờ và chỉ được gửi tin nhắn </w:t>
      </w:r>
      <w:r w:rsidRPr="00362265">
        <w:rPr>
          <w:rFonts w:eastAsia="Times New Roman" w:cs="Times New Roman"/>
          <w:szCs w:val="28"/>
        </w:rPr>
        <w:lastRenderedPageBreak/>
        <w:t>trong khoảng thời gian từ 7h đến 22h mỗi ngày, gọi điện thoại quảng cáo từ 8h đến 17h mỗi ngày.</w:t>
      </w:r>
    </w:p>
    <w:p w:rsidR="008A172A" w:rsidRPr="00362265" w:rsidRDefault="008A172A" w:rsidP="000324D6">
      <w:pPr>
        <w:spacing w:before="150" w:after="150" w:line="375" w:lineRule="atLeast"/>
        <w:ind w:firstLine="720"/>
        <w:jc w:val="both"/>
        <w:rPr>
          <w:rFonts w:eastAsia="Times New Roman" w:cs="Times New Roman"/>
          <w:szCs w:val="28"/>
        </w:rPr>
      </w:pPr>
      <w:r w:rsidRPr="00362265">
        <w:rPr>
          <w:rFonts w:eastAsia="Times New Roman" w:cs="Times New Roman"/>
          <w:szCs w:val="28"/>
        </w:rPr>
        <w:t>Nghị định 91 cũng quy định rõ trách nhiệm của doanh nghiệp cung cấp dịch vụ viễn thông, Internet. Các đơn vị cung cấp dịch vụ phải hướng dẫn người sử dụng dịch vụ về cách thức chống và cung cấp cho người sử dụng các công cụ, ứng dụng để phản ảnh tin nhắn rác, cuộc gọi rác. </w:t>
      </w:r>
    </w:p>
    <w:p w:rsidR="008A172A" w:rsidRPr="00362265" w:rsidRDefault="008A172A" w:rsidP="000324D6">
      <w:pPr>
        <w:spacing w:before="150" w:after="150" w:line="375" w:lineRule="atLeast"/>
        <w:ind w:firstLine="720"/>
        <w:jc w:val="both"/>
        <w:rPr>
          <w:rFonts w:eastAsia="Times New Roman" w:cs="Times New Roman"/>
          <w:szCs w:val="28"/>
        </w:rPr>
      </w:pPr>
      <w:r w:rsidRPr="00362265">
        <w:rPr>
          <w:rFonts w:eastAsia="Times New Roman" w:cs="Times New Roman"/>
          <w:szCs w:val="28"/>
        </w:rPr>
        <w:t>Đơn vị cung cấp dịch vụ có trách nhiệm cho phép người sử dụng chủ động ngăn chặn tin nhắn rác, cuộc gọi rác; thực hiện triệt để các biện pháp ngăn chặn tin nhắn quảng cáo, cuộc gọi quảng cáo đến danh sách không quảng cáo; ngăn chặn, thu hồi địa chỉ điện tử được dùng để phát tin nhắn rác, thư điện tử rác, cuộc gọi rác theo yêu cầu của cơ quan nhà nước có thẩm quyền...</w:t>
      </w:r>
    </w:p>
    <w:p w:rsidR="008A172A" w:rsidRPr="00362265" w:rsidRDefault="008A172A" w:rsidP="000324D6">
      <w:pPr>
        <w:spacing w:before="150" w:after="150" w:line="375" w:lineRule="atLeast"/>
        <w:ind w:firstLine="720"/>
        <w:jc w:val="both"/>
        <w:rPr>
          <w:rFonts w:eastAsia="Times New Roman" w:cs="Times New Roman"/>
          <w:szCs w:val="28"/>
        </w:rPr>
      </w:pPr>
      <w:r w:rsidRPr="00362265">
        <w:rPr>
          <w:rFonts w:eastAsia="Times New Roman" w:cs="Times New Roman"/>
          <w:szCs w:val="28"/>
        </w:rPr>
        <w:t>Người quảng cáo phải kiểm tra danh sách không quảng cáo để tránh việc gửi tin nhắn đăng ký quảng cáo, tin nhắn quảng cáo, gọi điện thoại quảng cáo đến các số điện thoại trong dannh sách này; chỉ được phép gửi tin nhắn quảng cáo, thư điện tử quảng cáo, gọi điện thoại quảng cáo đến người sử dụng khi được người sử dụng đồng ý trước về việc nhận quảng cáo.</w:t>
      </w:r>
    </w:p>
    <w:p w:rsidR="008A172A" w:rsidRPr="00362265" w:rsidRDefault="008A172A" w:rsidP="000324D6">
      <w:pPr>
        <w:spacing w:before="150" w:after="150" w:line="375" w:lineRule="atLeast"/>
        <w:ind w:firstLine="720"/>
        <w:jc w:val="both"/>
        <w:rPr>
          <w:rFonts w:eastAsia="Times New Roman" w:cs="Times New Roman"/>
          <w:szCs w:val="28"/>
        </w:rPr>
      </w:pPr>
      <w:r w:rsidRPr="00362265">
        <w:rPr>
          <w:rFonts w:eastAsia="Times New Roman" w:cs="Times New Roman"/>
          <w:szCs w:val="28"/>
        </w:rPr>
        <w:t>Nghị định này có hiệu lực thi hành từ ngày 1/10/2020.</w:t>
      </w:r>
    </w:p>
    <w:p w:rsidR="00CA3507" w:rsidRPr="00362265" w:rsidRDefault="00CA3507" w:rsidP="00CA3507">
      <w:pPr>
        <w:spacing w:line="240" w:lineRule="auto"/>
        <w:jc w:val="center"/>
        <w:rPr>
          <w:rFonts w:cs="Times New Roman"/>
          <w:b/>
          <w:i/>
          <w:szCs w:val="28"/>
        </w:rPr>
      </w:pPr>
      <w:r w:rsidRPr="00362265">
        <w:rPr>
          <w:rFonts w:cs="Times New Roman"/>
          <w:b/>
          <w:i/>
          <w:szCs w:val="28"/>
        </w:rPr>
        <w:t xml:space="preserve">                                                                              </w:t>
      </w:r>
      <w:r w:rsidR="00047A3D" w:rsidRPr="00362265">
        <w:rPr>
          <w:rFonts w:cs="Times New Roman"/>
          <w:b/>
          <w:i/>
          <w:szCs w:val="28"/>
        </w:rPr>
        <w:t xml:space="preserve"> </w:t>
      </w:r>
    </w:p>
    <w:p w:rsidR="00CA3507" w:rsidRPr="00362265" w:rsidRDefault="00CA3507" w:rsidP="00CA3507">
      <w:pPr>
        <w:spacing w:line="240" w:lineRule="auto"/>
        <w:ind w:firstLine="720"/>
        <w:jc w:val="both"/>
        <w:rPr>
          <w:szCs w:val="28"/>
        </w:rPr>
      </w:pPr>
      <w:r w:rsidRPr="00362265">
        <w:rPr>
          <w:rFonts w:eastAsia="Times New Roman" w:cs="Times New Roman"/>
          <w:b/>
          <w:i/>
          <w:iCs/>
          <w:szCs w:val="28"/>
        </w:rPr>
        <w:t xml:space="preserve">                                                                  </w:t>
      </w:r>
      <w:r w:rsidRPr="00362265">
        <w:rPr>
          <w:rFonts w:eastAsia="Times New Roman" w:cs="Times New Roman"/>
          <w:b/>
          <w:i/>
          <w:szCs w:val="28"/>
        </w:rPr>
        <w:t>Nguồn: </w:t>
      </w:r>
      <w:hyperlink r:id="rId5" w:history="1">
        <w:r w:rsidRPr="00362265">
          <w:rPr>
            <w:rStyle w:val="Hyperlink"/>
            <w:i/>
            <w:color w:val="auto"/>
            <w:szCs w:val="28"/>
            <w:bdr w:val="none" w:sz="0" w:space="0" w:color="auto" w:frame="1"/>
          </w:rPr>
          <w:t>http://pbgdpl.moj.gov.vn</w:t>
        </w:r>
      </w:hyperlink>
    </w:p>
    <w:p w:rsidR="00CA3507" w:rsidRPr="00362265" w:rsidRDefault="00CA3507" w:rsidP="000324D6">
      <w:pPr>
        <w:spacing w:before="150" w:after="150" w:line="375" w:lineRule="atLeast"/>
        <w:ind w:firstLine="720"/>
        <w:jc w:val="both"/>
        <w:rPr>
          <w:rFonts w:eastAsia="Times New Roman" w:cs="Times New Roman"/>
          <w:szCs w:val="28"/>
        </w:rPr>
      </w:pPr>
    </w:p>
    <w:p w:rsidR="009F356C" w:rsidRPr="00362265" w:rsidRDefault="00362265" w:rsidP="008A172A">
      <w:pPr>
        <w:jc w:val="both"/>
        <w:rPr>
          <w:rFonts w:cs="Times New Roman"/>
          <w:szCs w:val="28"/>
        </w:rPr>
      </w:pPr>
    </w:p>
    <w:sectPr w:rsidR="009F356C" w:rsidRPr="00362265" w:rsidSect="00A24302">
      <w:pgSz w:w="12240" w:h="15840" w:code="1"/>
      <w:pgMar w:top="1134" w:right="1077" w:bottom="851"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72A"/>
    <w:rsid w:val="000324D6"/>
    <w:rsid w:val="00047A3D"/>
    <w:rsid w:val="000B311A"/>
    <w:rsid w:val="00165C2A"/>
    <w:rsid w:val="00275393"/>
    <w:rsid w:val="00362265"/>
    <w:rsid w:val="004B16DA"/>
    <w:rsid w:val="00667474"/>
    <w:rsid w:val="008A172A"/>
    <w:rsid w:val="008E7B88"/>
    <w:rsid w:val="00913489"/>
    <w:rsid w:val="00A24302"/>
    <w:rsid w:val="00A3645D"/>
    <w:rsid w:val="00CA3507"/>
    <w:rsid w:val="00E01557"/>
    <w:rsid w:val="00E154AD"/>
    <w:rsid w:val="00F7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172A"/>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8A172A"/>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72A"/>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8A172A"/>
    <w:rPr>
      <w:rFonts w:eastAsia="Times New Roman" w:cs="Times New Roman"/>
      <w:b/>
      <w:bCs/>
      <w:sz w:val="36"/>
      <w:szCs w:val="36"/>
    </w:rPr>
  </w:style>
  <w:style w:type="paragraph" w:styleId="NormalWeb">
    <w:name w:val="Normal (Web)"/>
    <w:basedOn w:val="Normal"/>
    <w:uiPriority w:val="99"/>
    <w:semiHidden/>
    <w:unhideWhenUsed/>
    <w:rsid w:val="008A172A"/>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CA35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172A"/>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8A172A"/>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72A"/>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8A172A"/>
    <w:rPr>
      <w:rFonts w:eastAsia="Times New Roman" w:cs="Times New Roman"/>
      <w:b/>
      <w:bCs/>
      <w:sz w:val="36"/>
      <w:szCs w:val="36"/>
    </w:rPr>
  </w:style>
  <w:style w:type="paragraph" w:styleId="NormalWeb">
    <w:name w:val="Normal (Web)"/>
    <w:basedOn w:val="Normal"/>
    <w:uiPriority w:val="99"/>
    <w:semiHidden/>
    <w:unhideWhenUsed/>
    <w:rsid w:val="008A172A"/>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CA35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212556">
      <w:bodyDiv w:val="1"/>
      <w:marLeft w:val="0"/>
      <w:marRight w:val="0"/>
      <w:marTop w:val="0"/>
      <w:marBottom w:val="0"/>
      <w:divBdr>
        <w:top w:val="none" w:sz="0" w:space="0" w:color="auto"/>
        <w:left w:val="none" w:sz="0" w:space="0" w:color="auto"/>
        <w:bottom w:val="none" w:sz="0" w:space="0" w:color="auto"/>
        <w:right w:val="none" w:sz="0" w:space="0" w:color="auto"/>
      </w:divBdr>
      <w:divsChild>
        <w:div w:id="340664726">
          <w:marLeft w:val="0"/>
          <w:marRight w:val="0"/>
          <w:marTop w:val="0"/>
          <w:marBottom w:val="0"/>
          <w:divBdr>
            <w:top w:val="none" w:sz="0" w:space="0" w:color="auto"/>
            <w:left w:val="none" w:sz="0" w:space="0" w:color="auto"/>
            <w:bottom w:val="none" w:sz="0" w:space="0" w:color="auto"/>
            <w:right w:val="none" w:sz="0" w:space="0" w:color="auto"/>
          </w:divBdr>
          <w:divsChild>
            <w:div w:id="94836285">
              <w:marLeft w:val="0"/>
              <w:marRight w:val="0"/>
              <w:marTop w:val="210"/>
              <w:marBottom w:val="210"/>
              <w:divBdr>
                <w:top w:val="none" w:sz="0" w:space="0" w:color="auto"/>
                <w:left w:val="none" w:sz="0" w:space="0" w:color="auto"/>
                <w:bottom w:val="none" w:sz="0" w:space="0" w:color="auto"/>
                <w:right w:val="none" w:sz="0" w:space="0" w:color="auto"/>
              </w:divBdr>
            </w:div>
            <w:div w:id="1436052455">
              <w:marLeft w:val="0"/>
              <w:marRight w:val="0"/>
              <w:marTop w:val="225"/>
              <w:marBottom w:val="225"/>
              <w:divBdr>
                <w:top w:val="none" w:sz="0" w:space="0" w:color="auto"/>
                <w:left w:val="none" w:sz="0" w:space="0" w:color="auto"/>
                <w:bottom w:val="none" w:sz="0" w:space="0" w:color="auto"/>
                <w:right w:val="none" w:sz="0" w:space="0" w:color="auto"/>
              </w:divBdr>
              <w:divsChild>
                <w:div w:id="4963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1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bgdpl.moj.gov.vn/qt/tl-pbgdpl/Pages/de-cuong.aspx?ItemId=2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dcterms:created xsi:type="dcterms:W3CDTF">2020-09-16T01:17:00Z</dcterms:created>
  <dcterms:modified xsi:type="dcterms:W3CDTF">2020-09-18T01:37:00Z</dcterms:modified>
</cp:coreProperties>
</file>